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2EB86">
      <w:pPr>
        <w:spacing w:line="360" w:lineRule="auto"/>
        <w:jc w:val="center"/>
        <w:rPr>
          <w:rFonts w:hint="eastAsia" w:ascii="黑体" w:hAnsi="黑体" w:eastAsia="黑体" w:cs="黑体"/>
          <w:b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sz w:val="44"/>
          <w:szCs w:val="44"/>
        </w:rPr>
        <w:t>竞 买 协 议</w:t>
      </w:r>
    </w:p>
    <w:p w14:paraId="3997BA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rPr>
          <w:rFonts w:hint="eastAsia" w:ascii="黑体" w:hAnsi="黑体" w:eastAsia="黑体" w:cs="黑体"/>
          <w:b/>
          <w:sz w:val="28"/>
          <w:szCs w:val="28"/>
        </w:rPr>
      </w:pPr>
    </w:p>
    <w:p w14:paraId="29476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拍卖人（简称甲方）：河北大众拍卖有限责任公司</w:t>
      </w:r>
    </w:p>
    <w:p w14:paraId="13F18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竞买人（简称乙方）：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5DAD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法人或代理人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移动电话：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 w14:paraId="5D13F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开户行及账号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 w14:paraId="07C0A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根据《中华人民共和国拍卖法》和相关法律法规，就乙方参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中拍平台（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https://paimai.caa123.org.cn/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举行的拍卖会，双方达成如下协议：</w:t>
      </w:r>
    </w:p>
    <w:p w14:paraId="3F64D2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拍卖标的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物</w:t>
      </w:r>
    </w:p>
    <w:p w14:paraId="663B3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标的名称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废盘扣，轮扣等废旧物资一批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竞买保证金金额：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10万元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，佣金：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0"/>
          <w:sz w:val="32"/>
          <w:szCs w:val="32"/>
          <w:u w:val="single"/>
        </w:rPr>
        <w:t>成交价</w:t>
      </w:r>
      <w:r>
        <w:rPr>
          <w:rFonts w:hint="eastAsia" w:ascii="仿宋" w:hAnsi="仿宋" w:eastAsia="仿宋" w:cs="仿宋"/>
          <w:spacing w:val="-20"/>
          <w:sz w:val="32"/>
          <w:szCs w:val="32"/>
          <w:u w:val="single"/>
          <w:lang w:val="en-US" w:eastAsia="zh-CN"/>
        </w:rPr>
        <w:t xml:space="preserve">*成交吨数* 3 </w:t>
      </w:r>
      <w:r>
        <w:rPr>
          <w:rFonts w:hint="eastAsia" w:ascii="仿宋" w:hAnsi="仿宋" w:eastAsia="仿宋" w:cs="仿宋"/>
          <w:color w:val="000000"/>
          <w:spacing w:val="-20"/>
          <w:sz w:val="32"/>
          <w:szCs w:val="32"/>
          <w:u w:val="singl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。起拍价：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1800元/吨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，标的设有保留价，不达保留价不成交。标的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预估数量约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700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最终数量以买、卖双方共同认可的过磅数量为准。</w:t>
      </w:r>
    </w:p>
    <w:p w14:paraId="30FF8974">
      <w:pPr>
        <w:pStyle w:val="2"/>
        <w:ind w:left="0" w:leftChars="0" w:firstLine="0" w:firstLineChars="0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  <w:t>二、竞买保证金、拍卖佣金、成交价款的支付</w:t>
      </w:r>
    </w:p>
    <w:p w14:paraId="087607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1.竞买保证金：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乙方应按《拍卖公告》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及《竞买须知》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在有效时间内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向甲方指定账户交纳竞买保证金（竞买保证金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不冲抵拍卖成交价款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未按照要求支付的按照《竞买须知》相关要求追责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竞买保证金的退回参照《竞买须知》。</w:t>
      </w:r>
    </w:p>
    <w:p w14:paraId="30A5EF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竞买保证金交至：</w:t>
      </w:r>
    </w:p>
    <w:p w14:paraId="4295A8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账户名称：河北大众拍卖有限责任公司</w:t>
      </w:r>
    </w:p>
    <w:p w14:paraId="622205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开 户 行：华夏银行石家庄分行营业部</w:t>
      </w:r>
    </w:p>
    <w:p w14:paraId="457CB6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账    号：4730880001819100021122</w:t>
      </w:r>
    </w:p>
    <w:p w14:paraId="58B4AC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2.拍卖佣金：拍卖成交后，买受人须在标的物交割完成后2个工作日内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向甲方指定账户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支付拍卖佣金，未按照要求支付的按照《竞买须知》相关规定追责。</w:t>
      </w:r>
    </w:p>
    <w:p w14:paraId="53D48BAE"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拍卖佣金账户同竞买保证金账户。</w:t>
      </w:r>
    </w:p>
    <w:p w14:paraId="140863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3.成交价款：拍卖成交后，买受人须在2个工作日内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与委托方签订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废旧物资买卖合同》，合同签订后2日内，买受人向委托人指定账户支付合同价款的50%作为预付款，方可开始提货；当双方结算完成后买受人需向委托人支付剩余价款，委托人向买受人开具发票。未按照要求支付的按照《竞买须知》相关规定追责。</w:t>
      </w:r>
    </w:p>
    <w:p w14:paraId="1406B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default" w:ascii="黑体" w:hAnsi="黑体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、标的物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的交付</w:t>
      </w:r>
    </w:p>
    <w:p w14:paraId="0939E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乙方竞买成交，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按照《竞买须知》要求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甲方将向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乙方出具《拍卖成交确认书》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《拍卖成交确认书》与委托方签署《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废旧物资买卖合同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办理标的物交付手续。委托人负责拍卖成交标的的交付。</w:t>
      </w:r>
    </w:p>
    <w:p w14:paraId="05C762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甲方声明</w:t>
      </w:r>
    </w:p>
    <w:p w14:paraId="38856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甲方严格按照《中华人民共和国拍卖法》的规定实施本次拍卖。拍卖过程中，甲方如发现乙方出现违反《中华人民共和国拍卖法》情况的，有权中止本次拍卖会。</w:t>
      </w:r>
    </w:p>
    <w:p w14:paraId="24A13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本次拍卖不排除委托方因各种原因在拍卖会前通知,暂缓、中止、撤回本次拍卖项目,因此给乙方造成的相应损失由乙方自行承担,委托方和甲方不承担任何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183E8F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甲方所制作的资料仅供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参考，尽管甲方已尽心尽力对拍卖标的物进行了审查、了解，但仍不能排除该标的物有可能还存在未知的瑕疵，因此，乙方应在拍卖日前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详细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了解相关情况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对标的物成交后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涉及的手续及费用等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</w:t>
      </w:r>
      <w:r>
        <w:rPr>
          <w:rFonts w:hint="eastAsia" w:ascii="仿宋_GB2312" w:hAnsi="仿宋_GB2312" w:eastAsia="仿宋_GB2312" w:cs="仿宋_GB2312"/>
          <w:sz w:val="32"/>
          <w:szCs w:val="32"/>
        </w:rPr>
        <w:t>行调查。</w:t>
      </w:r>
    </w:p>
    <w:p w14:paraId="156D3A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甲方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所提供的相关文字资料、工作人员的介绍可能会有笔误、口误，仅供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竞买人</w:t>
      </w:r>
      <w:r>
        <w:rPr>
          <w:rFonts w:hint="eastAsia" w:ascii="仿宋_GB2312" w:hAnsi="仿宋_GB2312" w:eastAsia="仿宋_GB2312" w:cs="仿宋_GB2312"/>
          <w:sz w:val="32"/>
          <w:szCs w:val="32"/>
        </w:rPr>
        <w:t>参考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，以现场踏勘为准。</w:t>
      </w:r>
    </w:p>
    <w:p w14:paraId="2951DC82">
      <w:pPr>
        <w:pStyle w:val="2"/>
        <w:ind w:left="0" w:leftChars="0"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5.其他未尽事项参照《竞买须知》和《中华人民共和国拍卖法》。</w:t>
      </w:r>
    </w:p>
    <w:p w14:paraId="39261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baseline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、乙方承诺</w:t>
      </w:r>
    </w:p>
    <w:p w14:paraId="06DAA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1.拍卖前已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专业人员在规定的现场踏勘时间内，对标的资产进行全面勘察，已全面了解了标的资产的所有情况，充分知晓并认可标的资产可能存在的所有风险及瑕疵。成交后，按约定无条件按时足额支付约定价款、办理交接等相关手续，并愿承担一切责任与风险。</w:t>
      </w:r>
    </w:p>
    <w:p w14:paraId="15F2C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竞买成交后，按照约定期限支付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成交价款及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拍卖佣金。</w:t>
      </w:r>
    </w:p>
    <w:p w14:paraId="7A889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在约定期限内与委托方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办理标的物交接手续。</w:t>
      </w:r>
    </w:p>
    <w:p w14:paraId="4E7C4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4.乙方已详细阅读本场拍卖会《拍卖公告》、《竞买须知》及附件内容，认可并遵守其所有规定内容。</w:t>
      </w:r>
    </w:p>
    <w:p w14:paraId="632FA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baseline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、特别说明</w:t>
      </w:r>
    </w:p>
    <w:p w14:paraId="50E0F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1、本次拍卖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废盘扣，轮扣等废旧物资均为已使用过的废旧物品，委托人及拍卖人不保证所销售的废旧物资是可用的,不对其安全、质量和技术性能负责, 无论买受人将废旧物资用于何种目的, 委托人及拍卖人均不承担任何产品质量责任。</w:t>
      </w:r>
    </w:p>
    <w:p w14:paraId="58AAD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2、交货方式：买受人自提。</w:t>
      </w:r>
    </w:p>
    <w:p w14:paraId="742C3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3、计量方式：过磅称重计量，过磅费用由买受人承担。在提货地点附近选择双方认可的磅房称重，以磅房出具的磅单净重数量为准，双方签认。</w:t>
      </w:r>
    </w:p>
    <w:p w14:paraId="5C849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4、其他：废旧物资的拆解、切割、装车、运输等均由买受人自行完成，涉及的相关费用由买受人自行承担。</w:t>
      </w:r>
    </w:p>
    <w:p w14:paraId="7AB88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5、权利及义务：</w:t>
      </w:r>
    </w:p>
    <w:p w14:paraId="2E978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5.1买受人在提货作业期间，应遵守委托人的安全规则及要求，做好安全措施。买受人作业人员、车辆应服从委托人的现场管理，不得影响委托人的正常生产活动。禁止夜间作业。</w:t>
      </w:r>
    </w:p>
    <w:p w14:paraId="32D77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5.2买受人在提货作业期间，应在指定范围内工作，做好安全拆解、吊装、运输方案。如因买受人原因发生安全事故并导致损失的，由买受人承担一切安全责任和责任事故的经济赔偿。</w:t>
      </w:r>
    </w:p>
    <w:p w14:paraId="15942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5.3买受人在提货作业期间，应确保现场的清洁工作。给委托人或第三方造成环境污染的，买受人自行承担环保责任。</w:t>
      </w:r>
    </w:p>
    <w:p w14:paraId="5D16F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5.4买受人按照合同约定支付合同价款。买受人提货时间超出规定提货时间10天的，视为不履行合同。</w:t>
      </w:r>
    </w:p>
    <w:p w14:paraId="0626C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5.5委托人安排专人做好现场监督管理和指挥协调工作。委托人确认不具备现场拆解条件的废旧材料，买受人必须整体运出。</w:t>
      </w:r>
    </w:p>
    <w:p w14:paraId="70AFC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5.6委托人指定现场人员负责对现场材料进行确认。经确认为拟出售的废旧物资，买受人必须无条件全部提货；对确认留用的，买受人不得私自装车。</w:t>
      </w:r>
    </w:p>
    <w:p w14:paraId="392E8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5.7委托人有权检查装车材料并对出售的废旧物资进行再次确认。</w:t>
      </w:r>
    </w:p>
    <w:p w14:paraId="10166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6、合同签订后2日内，买受人向委托人指定账户支付合同价款的50%作为预付款，方可开始提货；当双方结算完成后买受人需向委托人支付剩余价款。</w:t>
      </w:r>
    </w:p>
    <w:p w14:paraId="3D487F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本协议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《拍卖公告》、《竞买须知》及附件，以上文件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为本协议的重要组成部分，乙方应详细阅读，拍卖成交后严格按照协议的规定执行，并不得以未详细阅读或未取得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附件为由提出退还标的物或者毁约。</w:t>
      </w:r>
    </w:p>
    <w:p w14:paraId="31C1D3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8、中拍平台于2021年6月1日起收取软件使用费，费用由买受人承担，具体标准及执行规则见《平台收费规则》。</w:t>
      </w:r>
    </w:p>
    <w:p w14:paraId="058B588F">
      <w:pPr>
        <w:pStyle w:val="2"/>
        <w:rPr>
          <w:rFonts w:hint="eastAsia"/>
          <w:lang w:eastAsia="zh-CN"/>
        </w:rPr>
      </w:pPr>
    </w:p>
    <w:p w14:paraId="11F76D1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纠纷解决：</w:t>
      </w:r>
    </w:p>
    <w:p w14:paraId="334C8C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双方在履行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协议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过程中发生争议，可以通过友好协商解决，协商仍无法解决争议的，可选择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在甲方所在地</w:t>
      </w:r>
      <w:r>
        <w:rPr>
          <w:rFonts w:hint="eastAsia" w:ascii="仿宋_GB2312" w:hAnsi="仿宋_GB2312" w:eastAsia="仿宋_GB2312" w:cs="仿宋_GB2312"/>
          <w:sz w:val="32"/>
          <w:szCs w:val="32"/>
        </w:rPr>
        <w:t>提起诉讼。</w:t>
      </w:r>
    </w:p>
    <w:p w14:paraId="04D9D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本协议一式两份，甲方一份、乙方一份。自甲、乙双方签</w:t>
      </w:r>
      <w:r>
        <w:rPr>
          <w:rFonts w:hint="eastAsia" w:ascii="仿宋_GB2312" w:hAnsi="仿宋_GB2312" w:eastAsia="仿宋_GB2312" w:cs="仿宋_GB2312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签字后生效。</w:t>
      </w:r>
    </w:p>
    <w:p w14:paraId="33389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6D7E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签章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乙方签章</w:t>
      </w:r>
    </w:p>
    <w:p w14:paraId="5453D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834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87E14DB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304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4A60D">
    <w:pPr>
      <w:pStyle w:val="3"/>
      <w:ind w:firstLine="4050" w:firstLineChars="22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5BD16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B2FF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BB06C">
    <w:pPr>
      <w:pStyle w:val="4"/>
      <w:pBdr>
        <w:bottom w:val="none" w:color="auto" w:sz="0" w:space="0"/>
      </w:pBdr>
      <w:rPr>
        <w:rFonts w:hint="eastAsia" w:eastAsia="宋体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ACC5F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DC209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2A9B59"/>
    <w:multiLevelType w:val="singleLevel"/>
    <w:tmpl w:val="F92A9B5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WU3OWI5MGRhZDBlZmVhNTg4NTVmY2U2MDA4MGMifQ=="/>
  </w:docVars>
  <w:rsids>
    <w:rsidRoot w:val="62A91FD3"/>
    <w:rsid w:val="08493DEA"/>
    <w:rsid w:val="0BB97C7D"/>
    <w:rsid w:val="15246AA6"/>
    <w:rsid w:val="192F2DCF"/>
    <w:rsid w:val="1DDB5FFF"/>
    <w:rsid w:val="22D21908"/>
    <w:rsid w:val="24563BDB"/>
    <w:rsid w:val="256762FD"/>
    <w:rsid w:val="30147100"/>
    <w:rsid w:val="30D277EE"/>
    <w:rsid w:val="31012577"/>
    <w:rsid w:val="33B201E6"/>
    <w:rsid w:val="36DC3513"/>
    <w:rsid w:val="44BE35E3"/>
    <w:rsid w:val="4C504812"/>
    <w:rsid w:val="52D460D7"/>
    <w:rsid w:val="58B67A37"/>
    <w:rsid w:val="59E60A81"/>
    <w:rsid w:val="5C0538C8"/>
    <w:rsid w:val="5D5056FC"/>
    <w:rsid w:val="5D7E2D63"/>
    <w:rsid w:val="62A91FD3"/>
    <w:rsid w:val="674808A2"/>
    <w:rsid w:val="737E009A"/>
    <w:rsid w:val="7B1448AF"/>
    <w:rsid w:val="7CC1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2231</Words>
  <Characters>2325</Characters>
  <Lines>0</Lines>
  <Paragraphs>0</Paragraphs>
  <TotalTime>10</TotalTime>
  <ScaleCrop>false</ScaleCrop>
  <LinksUpToDate>false</LinksUpToDate>
  <CharactersWithSpaces>2538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2025-07-18T07:53:00Z</dcterms:created>
  <dc:creator>牛计生</dc:creator>
  <cp:lastModifiedBy>崔国哲</cp:lastModifiedBy>
  <dcterms:modified xsi:type="dcterms:W3CDTF">2025-09-22T07:11:39Z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087C5D053DFF4BFFA14AACA7B6E5BBD6_11</vt:lpwstr>
  </property>
</Properties>
</file>